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3013" w14:textId="77777777" w:rsidR="00D701D4" w:rsidRDefault="00D701D4" w:rsidP="00ED7E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82B0E" w14:textId="77777777" w:rsidR="0036352D" w:rsidRDefault="0036352D" w:rsidP="003635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023">
        <w:rPr>
          <w:rFonts w:ascii="Times New Roman" w:hAnsi="Times New Roman" w:cs="Times New Roman"/>
          <w:b/>
          <w:bCs/>
          <w:sz w:val="24"/>
          <w:szCs w:val="24"/>
        </w:rPr>
        <w:t xml:space="preserve">PRIJEDLOG KARTE REGIONALNIH POTPORA ZA RAZDOBLJE </w:t>
      </w:r>
    </w:p>
    <w:p w14:paraId="6C68B656" w14:textId="0D2864CA" w:rsidR="0036352D" w:rsidRPr="006A6023" w:rsidRDefault="0036352D" w:rsidP="00ED7E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A17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7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2027. </w:t>
      </w:r>
      <w:r w:rsidRPr="006A6023">
        <w:rPr>
          <w:rFonts w:ascii="Times New Roman" w:hAnsi="Times New Roman" w:cs="Times New Roman"/>
          <w:b/>
          <w:bCs/>
          <w:sz w:val="24"/>
          <w:szCs w:val="24"/>
        </w:rPr>
        <w:t>GODINE</w:t>
      </w:r>
    </w:p>
    <w:p w14:paraId="082803FF" w14:textId="77777777" w:rsidR="0036352D" w:rsidRPr="006A6023" w:rsidRDefault="0036352D" w:rsidP="00ED7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2DFFC5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023">
        <w:rPr>
          <w:rFonts w:ascii="Times New Roman" w:hAnsi="Times New Roman" w:cs="Times New Roman"/>
          <w:sz w:val="24"/>
          <w:szCs w:val="24"/>
        </w:rPr>
        <w:t>I.</w:t>
      </w:r>
    </w:p>
    <w:p w14:paraId="39B9C989" w14:textId="77777777" w:rsidR="00ED7EEC" w:rsidRPr="006A6023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75639E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E1">
        <w:rPr>
          <w:rFonts w:ascii="Times New Roman" w:hAnsi="Times New Roman" w:cs="Times New Roman"/>
          <w:sz w:val="24"/>
          <w:szCs w:val="24"/>
        </w:rPr>
        <w:t xml:space="preserve">Ovom Kartom utvrđuju se područja na kojima se mogu dodjeljivati državne potpore koje potiču gospodarski razvoj područja s neuobičajeno niskim životnim standardom ili velike nezaposlenosti, </w:t>
      </w:r>
      <w:r w:rsidRPr="00A74BE1">
        <w:rPr>
          <w:rFonts w:ascii="Times New Roman" w:hAnsi="Times New Roman" w:cs="Times New Roman"/>
          <w:sz w:val="24"/>
          <w:szCs w:val="24"/>
          <w:shd w:val="clear" w:color="auto" w:fill="FFFFFF"/>
        </w:rPr>
        <w:t>potpore za olakšavanje razvoja određenih gospodarskih djelatnosti ili određenih gospodarskih područja ako takve potpore ne utječu negativno na trgovinske uvjete u mjeri u kojoj bi to bilo suprotno zajedničkom interesu</w:t>
      </w:r>
      <w:r w:rsidRPr="00A74BE1">
        <w:rPr>
          <w:rFonts w:ascii="Times New Roman" w:hAnsi="Times New Roman" w:cs="Times New Roman"/>
          <w:sz w:val="24"/>
          <w:szCs w:val="24"/>
        </w:rPr>
        <w:t xml:space="preserve"> te njihov maksimalni intenzitet (u daljnjem tekstu: regionalne potpore).</w:t>
      </w:r>
    </w:p>
    <w:p w14:paraId="5D7B5C85" w14:textId="77777777" w:rsidR="00ED7EEC" w:rsidRPr="00A74BE1" w:rsidRDefault="00ED7EEC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93607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70BA90F8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585F8C" w14:textId="42F459AC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548">
        <w:rPr>
          <w:rFonts w:ascii="Times New Roman" w:hAnsi="Times New Roman" w:cs="Times New Roman"/>
          <w:sz w:val="24"/>
          <w:szCs w:val="24"/>
        </w:rPr>
        <w:t>Za dodjelu regionalnih potpora na odgovarajući način primjenjuju se Zakon o državnim potporama (</w:t>
      </w:r>
      <w:r w:rsidR="00D07DE4">
        <w:rPr>
          <w:rFonts w:ascii="Times New Roman" w:hAnsi="Times New Roman" w:cs="Times New Roman"/>
          <w:sz w:val="24"/>
          <w:szCs w:val="24"/>
        </w:rPr>
        <w:t>„</w:t>
      </w:r>
      <w:r w:rsidRPr="00756548">
        <w:rPr>
          <w:rFonts w:ascii="Times New Roman" w:hAnsi="Times New Roman" w:cs="Times New Roman"/>
          <w:sz w:val="24"/>
          <w:szCs w:val="24"/>
        </w:rPr>
        <w:t>Narodne novine</w:t>
      </w:r>
      <w:r w:rsidR="00D07DE4">
        <w:rPr>
          <w:rFonts w:ascii="Times New Roman" w:hAnsi="Times New Roman" w:cs="Times New Roman"/>
          <w:sz w:val="24"/>
          <w:szCs w:val="24"/>
        </w:rPr>
        <w:t>“</w:t>
      </w:r>
      <w:r w:rsidRPr="00756548">
        <w:rPr>
          <w:rFonts w:ascii="Times New Roman" w:hAnsi="Times New Roman" w:cs="Times New Roman"/>
          <w:sz w:val="24"/>
          <w:szCs w:val="24"/>
        </w:rPr>
        <w:t>, br</w:t>
      </w:r>
      <w:r w:rsidR="00D07DE4">
        <w:rPr>
          <w:rFonts w:ascii="Times New Roman" w:hAnsi="Times New Roman" w:cs="Times New Roman"/>
          <w:sz w:val="24"/>
          <w:szCs w:val="24"/>
        </w:rPr>
        <w:t>.</w:t>
      </w:r>
      <w:r w:rsidRPr="00756548">
        <w:rPr>
          <w:rFonts w:ascii="Times New Roman" w:hAnsi="Times New Roman" w:cs="Times New Roman"/>
          <w:sz w:val="24"/>
          <w:szCs w:val="24"/>
        </w:rPr>
        <w:t xml:space="preserve"> 47/14</w:t>
      </w:r>
      <w:r w:rsidR="00D07DE4">
        <w:rPr>
          <w:rFonts w:ascii="Times New Roman" w:hAnsi="Times New Roman" w:cs="Times New Roman"/>
          <w:sz w:val="24"/>
          <w:szCs w:val="24"/>
        </w:rPr>
        <w:t>.</w:t>
      </w:r>
      <w:r w:rsidRPr="00756548">
        <w:rPr>
          <w:rFonts w:ascii="Times New Roman" w:hAnsi="Times New Roman" w:cs="Times New Roman"/>
          <w:sz w:val="24"/>
          <w:szCs w:val="24"/>
        </w:rPr>
        <w:t xml:space="preserve"> i 69/17</w:t>
      </w:r>
      <w:r w:rsidR="00D07DE4">
        <w:rPr>
          <w:rFonts w:ascii="Times New Roman" w:hAnsi="Times New Roman" w:cs="Times New Roman"/>
          <w:sz w:val="24"/>
          <w:szCs w:val="24"/>
        </w:rPr>
        <w:t>.</w:t>
      </w:r>
      <w:r w:rsidRPr="00756548">
        <w:rPr>
          <w:rFonts w:ascii="Times New Roman" w:hAnsi="Times New Roman" w:cs="Times New Roman"/>
          <w:sz w:val="24"/>
          <w:szCs w:val="24"/>
        </w:rPr>
        <w:t xml:space="preserve">) i Smjernice </w:t>
      </w:r>
      <w:r w:rsidR="008528F8">
        <w:rPr>
          <w:rFonts w:ascii="Times New Roman" w:hAnsi="Times New Roman" w:cs="Times New Roman"/>
          <w:sz w:val="24"/>
          <w:szCs w:val="24"/>
        </w:rPr>
        <w:t>za regionalne državne potpore</w:t>
      </w:r>
      <w:r w:rsidRPr="0075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bookmarkStart w:id="0" w:name="_Hlk71272454"/>
      <w:r>
        <w:rPr>
          <w:rFonts w:ascii="Times New Roman" w:hAnsi="Times New Roman" w:cs="Times New Roman"/>
          <w:sz w:val="24"/>
          <w:szCs w:val="24"/>
        </w:rPr>
        <w:t>SL  C 153, 29.</w:t>
      </w:r>
      <w:r w:rsidR="008528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2021., </w:t>
      </w:r>
      <w:r w:rsidRPr="00571872">
        <w:rPr>
          <w:rFonts w:ascii="Times New Roman" w:hAnsi="Times New Roman" w:cs="Times New Roman"/>
          <w:sz w:val="24"/>
          <w:szCs w:val="24"/>
        </w:rPr>
        <w:t>u daljnjem tekstu: Smjernice</w:t>
      </w:r>
      <w:bookmarkEnd w:id="0"/>
      <w:r w:rsidRPr="00571872">
        <w:rPr>
          <w:rFonts w:ascii="Times New Roman" w:hAnsi="Times New Roman" w:cs="Times New Roman"/>
          <w:sz w:val="24"/>
          <w:szCs w:val="24"/>
        </w:rPr>
        <w:t>).</w:t>
      </w:r>
    </w:p>
    <w:p w14:paraId="1956559A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EC353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5737FA7A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91046C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 se sukladno Nacionalnoj klasifikaciji statističkih regija 2021. (HR_NUTS 2021</w:t>
      </w:r>
      <w:r w:rsidR="00852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(</w:t>
      </w:r>
      <w:r w:rsidR="008528F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528F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125/19</w:t>
      </w:r>
      <w:r w:rsidR="00852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dijeli na četiri NUTS</w:t>
      </w:r>
      <w:r w:rsidR="00852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regije: </w:t>
      </w:r>
    </w:p>
    <w:p w14:paraId="6B635E80" w14:textId="77777777" w:rsidR="0036352D" w:rsidRDefault="0036352D" w:rsidP="00ED7E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3">
        <w:rPr>
          <w:rFonts w:ascii="Times New Roman" w:hAnsi="Times New Roman" w:cs="Times New Roman"/>
          <w:sz w:val="24"/>
          <w:szCs w:val="24"/>
        </w:rPr>
        <w:t>Panonska Hrvatska</w:t>
      </w:r>
    </w:p>
    <w:p w14:paraId="5E2D4856" w14:textId="77777777" w:rsidR="0036352D" w:rsidRPr="00E15173" w:rsidRDefault="0036352D" w:rsidP="00ED7E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3">
        <w:rPr>
          <w:rFonts w:ascii="Times New Roman" w:hAnsi="Times New Roman" w:cs="Times New Roman"/>
          <w:sz w:val="24"/>
          <w:szCs w:val="24"/>
        </w:rPr>
        <w:t>Jadranska Hrvatska</w:t>
      </w:r>
    </w:p>
    <w:p w14:paraId="0A3D048E" w14:textId="77777777" w:rsidR="0036352D" w:rsidRPr="00E15173" w:rsidRDefault="0036352D" w:rsidP="00ED7E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3">
        <w:rPr>
          <w:rFonts w:ascii="Times New Roman" w:hAnsi="Times New Roman" w:cs="Times New Roman"/>
          <w:sz w:val="24"/>
          <w:szCs w:val="24"/>
        </w:rPr>
        <w:t xml:space="preserve">Grad Zagreb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5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471FB" w14:textId="77777777" w:rsidR="0036352D" w:rsidRDefault="0036352D" w:rsidP="00ED7E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173">
        <w:rPr>
          <w:rFonts w:ascii="Times New Roman" w:hAnsi="Times New Roman" w:cs="Times New Roman"/>
          <w:sz w:val="24"/>
          <w:szCs w:val="24"/>
        </w:rPr>
        <w:t>Sjeverna Hrvatska.</w:t>
      </w:r>
    </w:p>
    <w:p w14:paraId="13F5A572" w14:textId="77777777" w:rsidR="00ED7EEC" w:rsidRPr="00D92A4E" w:rsidRDefault="00ED7EEC" w:rsidP="008528F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8B22C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14:paraId="01381ED3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033A26" w14:textId="6E75513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455260"/>
      <w:r w:rsidRPr="00756548">
        <w:rPr>
          <w:rFonts w:ascii="Times New Roman" w:hAnsi="Times New Roman" w:cs="Times New Roman"/>
          <w:sz w:val="24"/>
          <w:szCs w:val="24"/>
        </w:rPr>
        <w:t>Prostorne jedinice Panonska Hrvatska, Jadranska Hrvatska i Sjeverna Hrvatska utvrđene su kao „a“ područja, a prostorna jedinica Grad Zagreb kao „c“ područje, na kojima se mogu dodjeljivati regionalne potpore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DAB82B" w14:textId="77777777" w:rsidR="00ED7EEC" w:rsidRDefault="00ED7EEC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8324D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690E5DEE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668DF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Prostorna jedinica Panonska Hrvatska </w:t>
      </w:r>
      <w:bookmarkStart w:id="2" w:name="_Hlk51744610"/>
      <w:r>
        <w:rPr>
          <w:rFonts w:ascii="Times New Roman" w:hAnsi="Times New Roman" w:cs="Times New Roman"/>
          <w:sz w:val="24"/>
          <w:szCs w:val="24"/>
        </w:rPr>
        <w:t xml:space="preserve">doseže </w:t>
      </w:r>
      <w:r w:rsidRPr="00B31FEF">
        <w:rPr>
          <w:rFonts w:ascii="Times New Roman" w:hAnsi="Times New Roman" w:cs="Times New Roman"/>
          <w:sz w:val="24"/>
          <w:szCs w:val="24"/>
        </w:rPr>
        <w:t>41,58</w:t>
      </w:r>
      <w:r w:rsidR="007217F5">
        <w:rPr>
          <w:rFonts w:ascii="Times New Roman" w:hAnsi="Times New Roman" w:cs="Times New Roman"/>
          <w:sz w:val="24"/>
          <w:szCs w:val="24"/>
        </w:rPr>
        <w:t xml:space="preserve"> </w:t>
      </w:r>
      <w:r w:rsidRPr="00B31FEF">
        <w:rPr>
          <w:rFonts w:ascii="Times New Roman" w:hAnsi="Times New Roman" w:cs="Times New Roman"/>
          <w:sz w:val="24"/>
          <w:szCs w:val="24"/>
        </w:rPr>
        <w:t>% prosječnog BDP-a</w:t>
      </w:r>
      <w:r>
        <w:rPr>
          <w:rFonts w:ascii="Times New Roman" w:hAnsi="Times New Roman" w:cs="Times New Roman"/>
          <w:sz w:val="24"/>
          <w:szCs w:val="24"/>
        </w:rPr>
        <w:t xml:space="preserve"> po stanovniku u EU-27 i </w:t>
      </w:r>
      <w:bookmarkStart w:id="3" w:name="_Hlk69907611"/>
      <w:r>
        <w:rPr>
          <w:rFonts w:ascii="Times New Roman" w:hAnsi="Times New Roman" w:cs="Times New Roman"/>
          <w:sz w:val="24"/>
          <w:szCs w:val="24"/>
        </w:rPr>
        <w:t xml:space="preserve">maksimalni intenzitet regionalne potpore </w:t>
      </w:r>
      <w:bookmarkStart w:id="4" w:name="_Hlk71278844"/>
      <w:r>
        <w:rPr>
          <w:rFonts w:ascii="Times New Roman" w:hAnsi="Times New Roman" w:cs="Times New Roman"/>
          <w:sz w:val="24"/>
          <w:szCs w:val="24"/>
        </w:rPr>
        <w:t xml:space="preserve">za velika poduzeća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koji se u skladu s točkom 179. podtočkom 1. Smjernica može dodijeliti na ovom području je </w:t>
      </w:r>
      <w:r w:rsidRPr="003B3F81">
        <w:rPr>
          <w:rFonts w:ascii="Times New Roman" w:hAnsi="Times New Roman" w:cs="Times New Roman"/>
          <w:sz w:val="24"/>
          <w:szCs w:val="24"/>
        </w:rPr>
        <w:t>50</w:t>
      </w:r>
      <w:r w:rsidR="007217F5">
        <w:rPr>
          <w:rFonts w:ascii="Times New Roman" w:hAnsi="Times New Roman" w:cs="Times New Roman"/>
          <w:sz w:val="24"/>
          <w:szCs w:val="24"/>
        </w:rPr>
        <w:t xml:space="preserve"> </w:t>
      </w:r>
      <w:r w:rsidRPr="003B3F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D62250E" w14:textId="77777777" w:rsidR="00ED7EEC" w:rsidRDefault="00ED7EEC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9344F19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14:paraId="56CB30B9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18FD5A" w14:textId="25B99B9A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Prostorna jedinica Jadranska Hrvatska doseže </w:t>
      </w:r>
      <w:r w:rsidRPr="00B31FEF">
        <w:rPr>
          <w:rFonts w:ascii="Times New Roman" w:hAnsi="Times New Roman" w:cs="Times New Roman"/>
          <w:sz w:val="24"/>
          <w:szCs w:val="24"/>
        </w:rPr>
        <w:t>60,33</w:t>
      </w:r>
      <w:r w:rsidR="007217F5">
        <w:rPr>
          <w:rFonts w:ascii="Times New Roman" w:hAnsi="Times New Roman" w:cs="Times New Roman"/>
          <w:sz w:val="24"/>
          <w:szCs w:val="24"/>
        </w:rPr>
        <w:t xml:space="preserve"> </w:t>
      </w:r>
      <w:r w:rsidRPr="00B31FEF">
        <w:rPr>
          <w:rFonts w:ascii="Times New Roman" w:hAnsi="Times New Roman" w:cs="Times New Roman"/>
          <w:sz w:val="24"/>
          <w:szCs w:val="24"/>
        </w:rPr>
        <w:t>% prosječnog BDP-a</w:t>
      </w:r>
      <w:r>
        <w:rPr>
          <w:rFonts w:ascii="Times New Roman" w:hAnsi="Times New Roman" w:cs="Times New Roman"/>
          <w:sz w:val="24"/>
          <w:szCs w:val="24"/>
        </w:rPr>
        <w:t xml:space="preserve"> po stanovniku u EU-27 i </w:t>
      </w:r>
      <w:bookmarkStart w:id="5" w:name="_Hlk68181559"/>
      <w:r>
        <w:rPr>
          <w:rFonts w:ascii="Times New Roman" w:hAnsi="Times New Roman" w:cs="Times New Roman"/>
          <w:sz w:val="24"/>
          <w:szCs w:val="24"/>
        </w:rPr>
        <w:t>maksimalni intenzitet regionalne potpore za velika poduzeća koji se u skladu s točkom 179. podtočkom 2. Smjernica može dodijeliti na ovom području je 40</w:t>
      </w:r>
      <w:r w:rsidR="007217F5">
        <w:rPr>
          <w:rFonts w:ascii="Times New Roman" w:hAnsi="Times New Roman" w:cs="Times New Roman"/>
          <w:sz w:val="24"/>
          <w:szCs w:val="24"/>
        </w:rPr>
        <w:t xml:space="preserve"> </w:t>
      </w:r>
      <w:r w:rsidRPr="003B3F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75BC3EDB" w14:textId="77777777" w:rsidR="007217F5" w:rsidRDefault="007217F5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45D9B" w14:textId="5C9316B8" w:rsidR="0036352D" w:rsidRPr="005138CB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68">
        <w:rPr>
          <w:rFonts w:ascii="Times New Roman" w:hAnsi="Times New Roman" w:cs="Times New Roman"/>
          <w:sz w:val="24"/>
          <w:szCs w:val="24"/>
        </w:rPr>
        <w:t>2) Ličko-senjska županija, u skladu s točkom 160. Smjernica, utvrđena je u Prilogu I. Smjernica kao prihvatljivo područje „a”, koje se u skladu s točkom 166. podtočkom 2.Smjernica smatra i rijetko naseljenim područjem s manje od 12,5 stanovnika po kvadratnom kilometru.</w:t>
      </w:r>
    </w:p>
    <w:p w14:paraId="7547DB7F" w14:textId="77777777" w:rsidR="0036352D" w:rsidRPr="006A5D90" w:rsidRDefault="0036352D" w:rsidP="00ED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BC8F52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14:paraId="3CD3241E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1D58E3" w14:textId="77777777" w:rsidR="007217F5" w:rsidRDefault="007217F5" w:rsidP="007217F5">
      <w:pPr>
        <w:pStyle w:val="Default"/>
        <w:jc w:val="both"/>
      </w:pPr>
      <w:bookmarkStart w:id="6" w:name="_Hlk68180381"/>
      <w:r w:rsidRPr="007217F5">
        <w:t xml:space="preserve">1) </w:t>
      </w:r>
      <w:r w:rsidR="0036352D" w:rsidRPr="007217F5">
        <w:t>Prostorna jedinica Grad Zagreb doseže 109,24</w:t>
      </w:r>
      <w:r w:rsidRPr="007217F5">
        <w:t xml:space="preserve"> </w:t>
      </w:r>
      <w:r w:rsidR="0036352D" w:rsidRPr="007217F5">
        <w:t>% prosječnog BDP-a po stanovniku u EU-27 i maksimalni intenzitet regionalne potpore za velika poduzeća koji se u skladu s točkom 182. podtočkom 2. Smjernica može dodijeliti na ovom području je 15</w:t>
      </w:r>
      <w:r w:rsidRPr="007217F5">
        <w:t xml:space="preserve"> </w:t>
      </w:r>
      <w:r w:rsidR="0036352D" w:rsidRPr="007217F5">
        <w:t>%. U skladu s točkom 183. Smjernica na bivšim područjima „a” navedeni intenzitet potpore od 15 % može se povećati za najviše 5 postotnih</w:t>
      </w:r>
      <w:r>
        <w:t xml:space="preserve"> bodova do 31. prosinca 2024.</w:t>
      </w:r>
    </w:p>
    <w:p w14:paraId="7FE7A29A" w14:textId="77777777" w:rsidR="007217F5" w:rsidRDefault="007217F5" w:rsidP="007217F5">
      <w:pPr>
        <w:pStyle w:val="Default"/>
        <w:jc w:val="both"/>
      </w:pPr>
    </w:p>
    <w:p w14:paraId="7455D93D" w14:textId="77777777" w:rsidR="0036352D" w:rsidRPr="007217F5" w:rsidRDefault="007217F5" w:rsidP="007217F5">
      <w:pPr>
        <w:pStyle w:val="Default"/>
        <w:jc w:val="both"/>
      </w:pPr>
      <w:r>
        <w:t xml:space="preserve">2) </w:t>
      </w:r>
      <w:r w:rsidR="0036352D" w:rsidRPr="007217F5">
        <w:t xml:space="preserve">Prostorna jedinica Grad Zagreb graniči s prostornom jedinicom Sjeverna Hrvatska, a u skladu s točkom 184. Smjernica, ako područje „c” graniči s područjem „a”, maksimalni intenzitet potpore u regijama na razini NUTS 3 ili njihovim dijelovima unutar tog područja „c” koji graniče s područjem „a” može se povećati prema potrebi, tako da razlika u intenzitetu potpore između ta dva područja ne bude veća od 15 postotnih bodova. </w:t>
      </w:r>
    </w:p>
    <w:bookmarkEnd w:id="6"/>
    <w:p w14:paraId="1C7BFD90" w14:textId="77777777" w:rsidR="0036352D" w:rsidRPr="007217F5" w:rsidRDefault="0036352D" w:rsidP="00ED7EEC">
      <w:pPr>
        <w:pStyle w:val="Default"/>
      </w:pPr>
    </w:p>
    <w:p w14:paraId="5BBB2F4A" w14:textId="77777777" w:rsidR="0036352D" w:rsidRPr="007217F5" w:rsidRDefault="007217F5" w:rsidP="00721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6352D" w:rsidRPr="007217F5">
        <w:rPr>
          <w:rFonts w:ascii="Times New Roman" w:hAnsi="Times New Roman" w:cs="Times New Roman"/>
          <w:sz w:val="24"/>
          <w:szCs w:val="24"/>
        </w:rPr>
        <w:t>U skladu s navedenim u stavku 2. ove točke maksimalni intenzitet regionalne potpore koji se može dodijeliti na ovom području je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52D" w:rsidRPr="007217F5">
        <w:rPr>
          <w:rFonts w:ascii="Times New Roman" w:hAnsi="Times New Roman" w:cs="Times New Roman"/>
          <w:sz w:val="24"/>
          <w:szCs w:val="24"/>
        </w:rPr>
        <w:t>%.</w:t>
      </w:r>
    </w:p>
    <w:p w14:paraId="371209A4" w14:textId="77777777" w:rsidR="0036352D" w:rsidRPr="00C2725D" w:rsidRDefault="0036352D" w:rsidP="00ED7E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8B7A9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14:paraId="4B7ABB7D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7963B" w14:textId="0AD0143F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Prostorna jedinica Sjeverna Hrvatska doseže </w:t>
      </w:r>
      <w:r w:rsidRPr="00B31FEF">
        <w:rPr>
          <w:rFonts w:ascii="Times New Roman" w:hAnsi="Times New Roman" w:cs="Times New Roman"/>
          <w:sz w:val="24"/>
          <w:szCs w:val="24"/>
        </w:rPr>
        <w:t>48,43</w:t>
      </w:r>
      <w:r w:rsidR="007217F5">
        <w:rPr>
          <w:rFonts w:ascii="Times New Roman" w:hAnsi="Times New Roman" w:cs="Times New Roman"/>
          <w:sz w:val="24"/>
          <w:szCs w:val="24"/>
        </w:rPr>
        <w:t xml:space="preserve"> </w:t>
      </w:r>
      <w:r w:rsidRPr="00B31FEF">
        <w:rPr>
          <w:rFonts w:ascii="Times New Roman" w:hAnsi="Times New Roman" w:cs="Times New Roman"/>
          <w:sz w:val="24"/>
          <w:szCs w:val="24"/>
        </w:rPr>
        <w:t>% prosječnog BDP-a po stanovniku</w:t>
      </w:r>
      <w:r>
        <w:rPr>
          <w:rFonts w:ascii="Times New Roman" w:hAnsi="Times New Roman" w:cs="Times New Roman"/>
          <w:sz w:val="24"/>
          <w:szCs w:val="24"/>
        </w:rPr>
        <w:t xml:space="preserve"> u EU-27 i maksimalni intenzitet regionalne potpore za velika poduzeća koji se u skladu s točkom 179. </w:t>
      </w:r>
      <w:r w:rsidR="00F82819">
        <w:rPr>
          <w:rFonts w:ascii="Times New Roman" w:hAnsi="Times New Roman" w:cs="Times New Roman"/>
          <w:sz w:val="24"/>
          <w:szCs w:val="24"/>
        </w:rPr>
        <w:t>pod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točkom 1. Smjernica može dodijeliti na ovom području je 50</w:t>
      </w:r>
      <w:r w:rsidR="007217F5">
        <w:rPr>
          <w:rFonts w:ascii="Times New Roman" w:hAnsi="Times New Roman" w:cs="Times New Roman"/>
          <w:sz w:val="24"/>
          <w:szCs w:val="24"/>
        </w:rPr>
        <w:t xml:space="preserve"> </w:t>
      </w:r>
      <w:r w:rsidRPr="003B3F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B3DE3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C11E8E1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</w:p>
    <w:p w14:paraId="06200185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6EF82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U skladu s točkom 1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556565">
        <w:rPr>
          <w:rFonts w:ascii="Times New Roman" w:hAnsi="Times New Roman" w:cs="Times New Roman"/>
          <w:sz w:val="24"/>
          <w:szCs w:val="24"/>
        </w:rPr>
        <w:t>. Smjernica, kada se regionalne potpore dodjeljuju malim i srednjim poduzetnicima, maksimalni intenzitet regionalne potpore iz točaka V. do VIII. ove Karte može se uvećati za 20</w:t>
      </w:r>
      <w:r w:rsidR="007217F5">
        <w:rPr>
          <w:rFonts w:ascii="Times New Roman" w:hAnsi="Times New Roman" w:cs="Times New Roman"/>
          <w:sz w:val="24"/>
          <w:szCs w:val="24"/>
        </w:rPr>
        <w:t xml:space="preserve"> </w:t>
      </w:r>
      <w:r w:rsidRPr="00556565">
        <w:rPr>
          <w:rFonts w:ascii="Times New Roman" w:hAnsi="Times New Roman" w:cs="Times New Roman"/>
          <w:sz w:val="24"/>
          <w:szCs w:val="24"/>
        </w:rPr>
        <w:t>% za mal</w:t>
      </w:r>
      <w:r>
        <w:rPr>
          <w:rFonts w:ascii="Times New Roman" w:hAnsi="Times New Roman" w:cs="Times New Roman"/>
          <w:sz w:val="24"/>
          <w:szCs w:val="24"/>
        </w:rPr>
        <w:t>a poduzeća</w:t>
      </w:r>
      <w:r w:rsidRPr="00556565">
        <w:rPr>
          <w:rFonts w:ascii="Times New Roman" w:hAnsi="Times New Roman" w:cs="Times New Roman"/>
          <w:sz w:val="24"/>
          <w:szCs w:val="24"/>
        </w:rPr>
        <w:t xml:space="preserve"> i za 10</w:t>
      </w:r>
      <w:r w:rsidR="007217F5">
        <w:rPr>
          <w:rFonts w:ascii="Times New Roman" w:hAnsi="Times New Roman" w:cs="Times New Roman"/>
          <w:sz w:val="24"/>
          <w:szCs w:val="24"/>
        </w:rPr>
        <w:t xml:space="preserve"> </w:t>
      </w:r>
      <w:r w:rsidRPr="00556565">
        <w:rPr>
          <w:rFonts w:ascii="Times New Roman" w:hAnsi="Times New Roman" w:cs="Times New Roman"/>
          <w:sz w:val="24"/>
          <w:szCs w:val="24"/>
        </w:rPr>
        <w:t>% bruto ekvivalenta potpore za srednj</w:t>
      </w:r>
      <w:r>
        <w:rPr>
          <w:rFonts w:ascii="Times New Roman" w:hAnsi="Times New Roman" w:cs="Times New Roman"/>
          <w:sz w:val="24"/>
          <w:szCs w:val="24"/>
        </w:rPr>
        <w:t>a poduzeća, ali najviše do 75</w:t>
      </w:r>
      <w:r w:rsidR="00721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556565">
        <w:rPr>
          <w:rFonts w:ascii="Times New Roman" w:hAnsi="Times New Roman" w:cs="Times New Roman"/>
          <w:sz w:val="24"/>
          <w:szCs w:val="24"/>
        </w:rPr>
        <w:t>bruto ekvivalenta potpore</w:t>
      </w:r>
      <w:r>
        <w:rPr>
          <w:rFonts w:ascii="Times New Roman" w:hAnsi="Times New Roman" w:cs="Times New Roman"/>
          <w:sz w:val="24"/>
          <w:szCs w:val="24"/>
        </w:rPr>
        <w:t xml:space="preserve"> u skladu s točkom 48. Smjernica. Navedeno uvećanje se ne primjenjuje na potpore dodijeljene za velike projekte ulaganja</w:t>
      </w:r>
      <w:r w:rsidRPr="00556565">
        <w:rPr>
          <w:rFonts w:ascii="Times New Roman" w:hAnsi="Times New Roman" w:cs="Times New Roman"/>
          <w:sz w:val="24"/>
          <w:szCs w:val="24"/>
        </w:rPr>
        <w:t>.</w:t>
      </w:r>
    </w:p>
    <w:p w14:paraId="7A7F1DCC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1790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X.</w:t>
      </w:r>
    </w:p>
    <w:p w14:paraId="1A3FE447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5401A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Udio stanovništva na područjima iz točaka V. do VIII. ove Karte u ukupnom udjelu stanovništva Republike Hrvatske iznosi 100</w:t>
      </w:r>
      <w:r w:rsidR="0061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te je na području:</w:t>
      </w:r>
    </w:p>
    <w:p w14:paraId="5018E3C9" w14:textId="6100129D" w:rsidR="0036352D" w:rsidRPr="00012712" w:rsidRDefault="0036352D" w:rsidP="00ED7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12712">
        <w:rPr>
          <w:rFonts w:ascii="Times New Roman" w:hAnsi="Times New Roman" w:cs="Times New Roman"/>
          <w:sz w:val="24"/>
          <w:szCs w:val="24"/>
        </w:rPr>
        <w:t>Panonske Hrvatske:</w:t>
      </w:r>
      <w:r>
        <w:rPr>
          <w:rFonts w:ascii="Times New Roman" w:hAnsi="Times New Roman" w:cs="Times New Roman"/>
          <w:sz w:val="24"/>
          <w:szCs w:val="24"/>
        </w:rPr>
        <w:t xml:space="preserve"> 26,46</w:t>
      </w:r>
      <w:r w:rsidR="0061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610A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078</w:t>
      </w:r>
      <w:r w:rsidR="00610A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471)</w:t>
      </w:r>
    </w:p>
    <w:p w14:paraId="65E774A7" w14:textId="0276958B" w:rsidR="0036352D" w:rsidRPr="00EF3170" w:rsidRDefault="0036352D" w:rsidP="00ED7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12712">
        <w:rPr>
          <w:rFonts w:ascii="Times New Roman" w:hAnsi="Times New Roman" w:cs="Times New Roman"/>
          <w:sz w:val="24"/>
          <w:szCs w:val="24"/>
        </w:rPr>
        <w:t>Jadranske Hrvatske:</w:t>
      </w:r>
      <w:r>
        <w:rPr>
          <w:rFonts w:ascii="Times New Roman" w:hAnsi="Times New Roman" w:cs="Times New Roman"/>
          <w:sz w:val="24"/>
          <w:szCs w:val="24"/>
        </w:rPr>
        <w:t xml:space="preserve"> 33,71</w:t>
      </w:r>
      <w:r w:rsidR="0061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610A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374</w:t>
      </w:r>
      <w:r w:rsidR="00610A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071</w:t>
      </w:r>
      <w:r w:rsidRPr="00EF317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14:paraId="7B731450" w14:textId="1A539950" w:rsidR="0036352D" w:rsidRPr="00012712" w:rsidRDefault="0036352D" w:rsidP="00ED7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12">
        <w:rPr>
          <w:rFonts w:ascii="Times New Roman" w:hAnsi="Times New Roman" w:cs="Times New Roman"/>
          <w:sz w:val="24"/>
          <w:szCs w:val="24"/>
        </w:rPr>
        <w:t>Grada Zagreba:</w:t>
      </w:r>
      <w:r w:rsidR="0061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19,78</w:t>
      </w:r>
      <w:r w:rsidR="0061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806</w:t>
      </w:r>
      <w:r w:rsidR="00610A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341)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08DF459D" w14:textId="142D652A" w:rsidR="0036352D" w:rsidRPr="00D92A4E" w:rsidRDefault="0036352D" w:rsidP="00ED7E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D74">
        <w:rPr>
          <w:rFonts w:ascii="Times New Roman" w:hAnsi="Times New Roman" w:cs="Times New Roman"/>
          <w:sz w:val="24"/>
          <w:szCs w:val="24"/>
        </w:rPr>
        <w:t>Sjevern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3D74">
        <w:rPr>
          <w:rFonts w:ascii="Times New Roman" w:hAnsi="Times New Roman" w:cs="Times New Roman"/>
          <w:sz w:val="24"/>
          <w:szCs w:val="24"/>
        </w:rPr>
        <w:t xml:space="preserve"> Hrvatsk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3D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20,04</w:t>
      </w:r>
      <w:r w:rsidR="0061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817</w:t>
      </w:r>
      <w:r w:rsidR="00610A1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363).</w:t>
      </w:r>
    </w:p>
    <w:p w14:paraId="787E57F2" w14:textId="77777777" w:rsidR="0036352D" w:rsidRPr="00D92A4E" w:rsidRDefault="0036352D" w:rsidP="00610A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0DCCC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XI.</w:t>
      </w:r>
    </w:p>
    <w:p w14:paraId="16233795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80ED1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Intenzitet regionalne potpore određuje davatelj potpore, ali ne u većem iznosu od iznosa propisanog ovom Kartom.</w:t>
      </w:r>
    </w:p>
    <w:p w14:paraId="15FD50E7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573C1" w14:textId="26767D23" w:rsidR="00610A15" w:rsidRDefault="00610A15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B73FE" w14:textId="0E8DADAB" w:rsidR="00B96411" w:rsidRDefault="00B96411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C3D27" w14:textId="43D2FEAC" w:rsidR="00B96411" w:rsidRDefault="00B96411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0EFEB" w14:textId="77777777" w:rsidR="00B96411" w:rsidRDefault="00B96411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671AD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</w:p>
    <w:p w14:paraId="1E43ED64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6CC67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 će kod dodjele regionalnih potpora poštivati maksimalne intenzitete regionalnih potpora kako su utvrđeni ovom Kartom koju odobrava Europska komisija i objavljuje u Službenom listu Europske unije.</w:t>
      </w:r>
    </w:p>
    <w:p w14:paraId="4D0C524D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E275E" w14:textId="77777777" w:rsidR="0036352D" w:rsidRDefault="0036352D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</w:t>
      </w:r>
    </w:p>
    <w:p w14:paraId="55F9215B" w14:textId="77777777" w:rsidR="00ED7EEC" w:rsidRDefault="00ED7EEC" w:rsidP="00ED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818297" w14:textId="462A40EE" w:rsidR="0036352D" w:rsidRDefault="00681661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61">
        <w:rPr>
          <w:rFonts w:ascii="Times New Roman" w:hAnsi="Times New Roman" w:cs="Times New Roman"/>
          <w:sz w:val="24"/>
          <w:szCs w:val="24"/>
        </w:rPr>
        <w:t>Ova Karta važi od 1. siječnja 2022. do 31. prosinca 2027</w:t>
      </w:r>
      <w:r w:rsidR="0036352D">
        <w:rPr>
          <w:rFonts w:ascii="Times New Roman" w:hAnsi="Times New Roman" w:cs="Times New Roman"/>
          <w:sz w:val="24"/>
          <w:szCs w:val="24"/>
        </w:rPr>
        <w:t>.</w:t>
      </w:r>
    </w:p>
    <w:p w14:paraId="707BAF39" w14:textId="77777777" w:rsidR="0036352D" w:rsidRDefault="0036352D" w:rsidP="00ED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E0BC7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6A4B0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8D426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F71F8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431D4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859B9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6E186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6D148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79DE3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0C223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4AD27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3955A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54B8D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0405B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1BE9F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AB240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52EF2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6D0C2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369F6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4C0C7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49E43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82F82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466C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17FEA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51650" w14:textId="77777777" w:rsidR="00ED7EEC" w:rsidRDefault="00ED7EEC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5E0E3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  <w:r w:rsidRPr="004C57E3">
        <w:rPr>
          <w:rFonts w:ascii="Times New Roman" w:hAnsi="Times New Roman" w:cs="Times New Roman"/>
          <w:sz w:val="24"/>
          <w:szCs w:val="24"/>
        </w:rPr>
        <w:t xml:space="preserve">PRILOG </w:t>
      </w:r>
    </w:p>
    <w:p w14:paraId="21515EE6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26FE7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BBC4B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37CFB431" wp14:editId="36407B6A">
            <wp:extent cx="5760720" cy="4839970"/>
            <wp:effectExtent l="0" t="0" r="0" b="0"/>
            <wp:docPr id="2" name="Picture 2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7F1B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0244D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D4A42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686DE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A0B1AA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C9762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84F2A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61B973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45DA6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98039" w14:textId="77777777" w:rsidR="0036352D" w:rsidRDefault="0036352D" w:rsidP="003635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8D928" w14:textId="77777777" w:rsidR="00582CD2" w:rsidRDefault="00582CD2"/>
    <w:sectPr w:rsidR="0058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0A"/>
    <w:multiLevelType w:val="hybridMultilevel"/>
    <w:tmpl w:val="840AF410"/>
    <w:lvl w:ilvl="0" w:tplc="9BA4733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45E97"/>
    <w:multiLevelType w:val="hybridMultilevel"/>
    <w:tmpl w:val="4678E4DE"/>
    <w:lvl w:ilvl="0" w:tplc="D49010D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338F"/>
    <w:multiLevelType w:val="hybridMultilevel"/>
    <w:tmpl w:val="87E255C2"/>
    <w:lvl w:ilvl="0" w:tplc="4808E1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C45BA"/>
    <w:multiLevelType w:val="hybridMultilevel"/>
    <w:tmpl w:val="4DF8B10E"/>
    <w:lvl w:ilvl="0" w:tplc="BF081A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2D"/>
    <w:rsid w:val="000F27FB"/>
    <w:rsid w:val="0036352D"/>
    <w:rsid w:val="005633D8"/>
    <w:rsid w:val="00582CD2"/>
    <w:rsid w:val="00610A15"/>
    <w:rsid w:val="00681661"/>
    <w:rsid w:val="007217F5"/>
    <w:rsid w:val="008528F8"/>
    <w:rsid w:val="00852AE9"/>
    <w:rsid w:val="00872061"/>
    <w:rsid w:val="008C0142"/>
    <w:rsid w:val="00A17430"/>
    <w:rsid w:val="00B96411"/>
    <w:rsid w:val="00C0736E"/>
    <w:rsid w:val="00D07DE4"/>
    <w:rsid w:val="00D701D4"/>
    <w:rsid w:val="00DE0625"/>
    <w:rsid w:val="00ED7EEC"/>
    <w:rsid w:val="00F2439E"/>
    <w:rsid w:val="00F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1354"/>
  <w15:chartTrackingRefBased/>
  <w15:docId w15:val="{95A62A60-013F-4B3F-813B-A438158A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52D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52D"/>
    <w:pPr>
      <w:ind w:left="720"/>
      <w:contextualSpacing/>
    </w:pPr>
  </w:style>
  <w:style w:type="paragraph" w:customStyle="1" w:styleId="Default">
    <w:name w:val="Default"/>
    <w:rsid w:val="0036352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3D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3D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Tučkar</dc:creator>
  <cp:keywords/>
  <dc:description/>
  <cp:lastModifiedBy>Sonja Tučkar</cp:lastModifiedBy>
  <cp:revision>17</cp:revision>
  <dcterms:created xsi:type="dcterms:W3CDTF">2021-06-14T10:21:00Z</dcterms:created>
  <dcterms:modified xsi:type="dcterms:W3CDTF">2021-06-17T12:43:00Z</dcterms:modified>
</cp:coreProperties>
</file>